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114F7" w14:textId="77777777" w:rsidR="00F50C5D" w:rsidRPr="00C6539A" w:rsidRDefault="00F50C5D" w:rsidP="00F50C5D">
      <w:pPr>
        <w:spacing w:after="200" w:line="276" w:lineRule="auto"/>
        <w:jc w:val="center"/>
        <w:rPr>
          <w:rFonts w:eastAsia="Arial Unicode MS"/>
          <w:b/>
          <w:bCs/>
          <w:sz w:val="32"/>
          <w:szCs w:val="32"/>
          <w:u w:val="single"/>
        </w:rPr>
      </w:pPr>
      <w:r w:rsidRPr="00C6539A">
        <w:rPr>
          <w:rFonts w:eastAsia="Arial Unicode MS"/>
          <w:b/>
          <w:bCs/>
          <w:sz w:val="32"/>
          <w:szCs w:val="32"/>
          <w:u w:val="single"/>
        </w:rPr>
        <w:t>Abstract Submission</w:t>
      </w:r>
      <w:r>
        <w:rPr>
          <w:rFonts w:eastAsia="Arial Unicode MS"/>
          <w:b/>
          <w:bCs/>
          <w:sz w:val="32"/>
          <w:szCs w:val="32"/>
          <w:u w:val="single"/>
        </w:rPr>
        <w:t xml:space="preserve"> Info</w:t>
      </w:r>
    </w:p>
    <w:p w14:paraId="4EBE162E" w14:textId="77777777" w:rsidR="00F50C5D" w:rsidRDefault="00F50C5D" w:rsidP="00F50C5D">
      <w:pPr>
        <w:spacing w:after="200" w:line="276" w:lineRule="auto"/>
        <w:rPr>
          <w:rFonts w:eastAsia="Arial Unicode MS"/>
          <w:sz w:val="24"/>
          <w:szCs w:val="24"/>
        </w:rPr>
      </w:pPr>
      <w:r w:rsidRPr="00C6539A">
        <w:rPr>
          <w:rFonts w:eastAsia="Arial Unicode MS"/>
          <w:sz w:val="24"/>
          <w:szCs w:val="24"/>
        </w:rPr>
        <w:t xml:space="preserve">Abstracts will be published in the conference proceedings. Additionally, participants are encouraged to submit abstracts for publication in the Canadian Journal of Plant Pathology (CJPP). All abstracts should be prepared according to the suggested CJPP format. </w:t>
      </w:r>
    </w:p>
    <w:p w14:paraId="6D65C35E" w14:textId="547A1164" w:rsidR="00F50C5D" w:rsidRPr="00C6539A" w:rsidRDefault="00F50C5D" w:rsidP="00F50C5D">
      <w:pPr>
        <w:spacing w:after="200" w:line="276" w:lineRule="auto"/>
        <w:rPr>
          <w:rFonts w:eastAsia="Arial Unicode MS"/>
          <w:sz w:val="24"/>
          <w:szCs w:val="24"/>
        </w:rPr>
      </w:pPr>
      <w:r w:rsidRPr="00C6539A">
        <w:rPr>
          <w:rFonts w:eastAsia="Arial Unicode MS"/>
          <w:sz w:val="24"/>
          <w:szCs w:val="24"/>
        </w:rPr>
        <w:t xml:space="preserve">All abstracts must be reviewed by two colleagues knowledgeable in the area. The two reviewers should not be authors of the abstract. The authors should submit the final copy of their abstract(s) in electronic format to </w:t>
      </w:r>
      <w:hyperlink r:id="rId6" w:history="1">
        <w:r w:rsidR="00F14A68" w:rsidRPr="00F86D1A">
          <w:rPr>
            <w:rStyle w:val="Hyperlink"/>
            <w:rFonts w:eastAsia="Arial Unicode MS"/>
            <w:sz w:val="24"/>
            <w:szCs w:val="24"/>
          </w:rPr>
          <w:t>PlantPathologySocietyAlberta@gmail.com</w:t>
        </w:r>
      </w:hyperlink>
      <w:r w:rsidR="00F14A68">
        <w:rPr>
          <w:rFonts w:eastAsia="Arial Unicode MS"/>
          <w:sz w:val="24"/>
          <w:szCs w:val="24"/>
        </w:rPr>
        <w:t xml:space="preserve"> </w:t>
      </w:r>
      <w:r w:rsidRPr="00C6539A">
        <w:rPr>
          <w:rFonts w:eastAsia="Arial Unicode MS"/>
          <w:sz w:val="24"/>
          <w:szCs w:val="24"/>
        </w:rPr>
        <w:t xml:space="preserve">by October </w:t>
      </w:r>
      <w:r w:rsidR="00F14A68">
        <w:rPr>
          <w:rFonts w:eastAsia="Arial Unicode MS"/>
          <w:sz w:val="24"/>
          <w:szCs w:val="24"/>
        </w:rPr>
        <w:t>6</w:t>
      </w:r>
      <w:r w:rsidRPr="00C6539A">
        <w:rPr>
          <w:rFonts w:eastAsia="Arial Unicode MS"/>
          <w:sz w:val="24"/>
          <w:szCs w:val="24"/>
        </w:rPr>
        <w:t>, 202</w:t>
      </w:r>
      <w:r w:rsidR="00F14A68">
        <w:rPr>
          <w:rFonts w:eastAsia="Arial Unicode MS"/>
          <w:sz w:val="24"/>
          <w:szCs w:val="24"/>
        </w:rPr>
        <w:t>5</w:t>
      </w:r>
      <w:r w:rsidRPr="00C6539A">
        <w:rPr>
          <w:rFonts w:eastAsia="Arial Unicode MS"/>
          <w:sz w:val="24"/>
          <w:szCs w:val="24"/>
        </w:rPr>
        <w:t xml:space="preserve"> with the two reviewers’ names indicated at the bottom.</w:t>
      </w:r>
    </w:p>
    <w:p w14:paraId="7404D31F" w14:textId="77777777" w:rsidR="00F50C5D" w:rsidRDefault="00F50C5D" w:rsidP="00F50C5D">
      <w:pPr>
        <w:spacing w:after="200" w:line="276" w:lineRule="auto"/>
        <w:rPr>
          <w:rFonts w:eastAsia="Arial Unicode MS"/>
          <w:sz w:val="24"/>
          <w:szCs w:val="24"/>
        </w:rPr>
      </w:pPr>
      <w:r w:rsidRPr="00C6539A">
        <w:rPr>
          <w:rFonts w:eastAsia="Arial Unicode MS"/>
          <w:sz w:val="24"/>
          <w:szCs w:val="24"/>
        </w:rPr>
        <w:t>For abstracts to be published in CJPP, a fee of $35 must be paid at the time of registration. All abstracts must conform to the CJPP instructions, regardless of whether they are published in CJPP or not.</w:t>
      </w:r>
    </w:p>
    <w:p w14:paraId="24D274C1" w14:textId="77777777" w:rsidR="00F50C5D" w:rsidRDefault="00F50C5D" w:rsidP="00F50C5D">
      <w:pPr>
        <w:spacing w:after="200" w:line="276" w:lineRule="auto"/>
        <w:rPr>
          <w:rFonts w:eastAsia="Arial Unicode MS"/>
          <w:sz w:val="24"/>
          <w:szCs w:val="24"/>
        </w:rPr>
      </w:pPr>
      <w:r w:rsidRPr="00C6539A">
        <w:rPr>
          <w:rFonts w:eastAsia="Arial Unicode MS"/>
          <w:sz w:val="24"/>
          <w:szCs w:val="24"/>
        </w:rPr>
        <w:t xml:space="preserve">For details regarding abstract formatting, please see the instructions for authors at: </w:t>
      </w:r>
      <w:hyperlink r:id="rId7" w:history="1">
        <w:r w:rsidRPr="00792768">
          <w:rPr>
            <w:rStyle w:val="Hyperlink"/>
            <w:rFonts w:eastAsia="Arial Unicode MS"/>
            <w:sz w:val="24"/>
            <w:szCs w:val="24"/>
          </w:rPr>
          <w:t>http://www.tandfonline.com/action/authorSubmission?journalCode=tcjp20&amp;page=instructions</w:t>
        </w:r>
      </w:hyperlink>
    </w:p>
    <w:p w14:paraId="38D5D13A" w14:textId="77777777" w:rsidR="00F50C5D" w:rsidRDefault="00F50C5D" w:rsidP="00F50C5D">
      <w:pPr>
        <w:rPr>
          <w:rFonts w:eastAsia="Arial Unicode MS"/>
          <w:b/>
          <w:bCs/>
          <w:sz w:val="24"/>
          <w:szCs w:val="24"/>
          <w:lang w:val="en-US"/>
        </w:rPr>
      </w:pPr>
    </w:p>
    <w:p w14:paraId="7DC871FD" w14:textId="77777777" w:rsidR="00F50C5D" w:rsidRDefault="00F50C5D" w:rsidP="00F50C5D">
      <w:pPr>
        <w:rPr>
          <w:rFonts w:eastAsia="Arial Unicode MS"/>
          <w:sz w:val="24"/>
          <w:szCs w:val="24"/>
          <w:lang w:val="en-US"/>
        </w:rPr>
      </w:pPr>
      <w:r w:rsidRPr="009F66AB">
        <w:rPr>
          <w:rFonts w:eastAsia="Arial Unicode MS"/>
          <w:b/>
          <w:bCs/>
          <w:sz w:val="24"/>
          <w:szCs w:val="24"/>
          <w:lang w:val="en-US"/>
        </w:rPr>
        <w:t xml:space="preserve">Word processor </w:t>
      </w:r>
      <w:r w:rsidRPr="009F66AB">
        <w:rPr>
          <w:rFonts w:eastAsia="Arial Unicode MS"/>
          <w:sz w:val="24"/>
          <w:szCs w:val="24"/>
          <w:lang w:val="en-US"/>
        </w:rPr>
        <w:t xml:space="preserve">- Microsoft Word preferred and save the document as the doc file instead of the docx </w:t>
      </w:r>
      <w:r>
        <w:rPr>
          <w:rFonts w:eastAsia="Arial Unicode MS"/>
          <w:sz w:val="24"/>
          <w:szCs w:val="24"/>
          <w:lang w:val="en-US"/>
        </w:rPr>
        <w:t>version</w:t>
      </w:r>
      <w:r w:rsidRPr="009F66AB">
        <w:rPr>
          <w:rFonts w:eastAsia="Arial Unicode MS"/>
          <w:sz w:val="24"/>
          <w:szCs w:val="24"/>
          <w:lang w:val="en-US"/>
        </w:rPr>
        <w:t>.</w:t>
      </w:r>
    </w:p>
    <w:p w14:paraId="0DC9E189" w14:textId="77777777" w:rsidR="00F50C5D" w:rsidRPr="009F66AB" w:rsidRDefault="00F50C5D" w:rsidP="00F50C5D">
      <w:pPr>
        <w:rPr>
          <w:rFonts w:eastAsia="Arial Unicode MS"/>
          <w:sz w:val="24"/>
          <w:szCs w:val="24"/>
          <w:lang w:val="en-US"/>
        </w:rPr>
      </w:pPr>
    </w:p>
    <w:p w14:paraId="14DE0A88" w14:textId="77777777" w:rsidR="00F50C5D" w:rsidRDefault="00F50C5D" w:rsidP="00F50C5D">
      <w:pPr>
        <w:rPr>
          <w:rFonts w:eastAsia="Arial Unicode MS"/>
          <w:sz w:val="24"/>
          <w:szCs w:val="24"/>
          <w:lang w:val="en-US"/>
        </w:rPr>
      </w:pPr>
      <w:r w:rsidRPr="009F66AB">
        <w:rPr>
          <w:rFonts w:eastAsia="Arial Unicode MS"/>
          <w:b/>
          <w:bCs/>
          <w:sz w:val="24"/>
          <w:szCs w:val="24"/>
          <w:lang w:val="en-US"/>
        </w:rPr>
        <w:t xml:space="preserve">Abstract font </w:t>
      </w:r>
      <w:r w:rsidRPr="009F66AB">
        <w:rPr>
          <w:rFonts w:eastAsia="Arial Unicode MS"/>
          <w:sz w:val="24"/>
          <w:szCs w:val="24"/>
          <w:lang w:val="en-US"/>
        </w:rPr>
        <w:t>- Times New Roman font and 12 point type preferred</w:t>
      </w:r>
    </w:p>
    <w:p w14:paraId="2546BB01" w14:textId="77777777" w:rsidR="00F50C5D" w:rsidRPr="009F66AB" w:rsidRDefault="00F50C5D" w:rsidP="00F50C5D">
      <w:pPr>
        <w:rPr>
          <w:rFonts w:eastAsia="Arial Unicode MS"/>
          <w:sz w:val="24"/>
          <w:szCs w:val="24"/>
          <w:lang w:val="en-US"/>
        </w:rPr>
      </w:pPr>
    </w:p>
    <w:p w14:paraId="2580E6AA" w14:textId="77777777" w:rsidR="00F50C5D" w:rsidRDefault="00F50C5D" w:rsidP="00F50C5D">
      <w:pPr>
        <w:rPr>
          <w:rFonts w:eastAsia="Arial Unicode MS"/>
          <w:sz w:val="24"/>
          <w:szCs w:val="24"/>
          <w:lang w:val="en-US"/>
        </w:rPr>
      </w:pPr>
      <w:r w:rsidRPr="009F66AB">
        <w:rPr>
          <w:rFonts w:eastAsia="Arial Unicode MS"/>
          <w:b/>
          <w:bCs/>
          <w:sz w:val="24"/>
          <w:szCs w:val="24"/>
          <w:lang w:val="en-US"/>
        </w:rPr>
        <w:t xml:space="preserve">Abstract title </w:t>
      </w:r>
      <w:r w:rsidRPr="009F66AB">
        <w:rPr>
          <w:rFonts w:eastAsia="Arial Unicode MS"/>
          <w:sz w:val="24"/>
          <w:szCs w:val="24"/>
          <w:lang w:val="en-US"/>
        </w:rPr>
        <w:t>- In bold, scientific names bold and italicized</w:t>
      </w:r>
    </w:p>
    <w:p w14:paraId="5D1DBE4E" w14:textId="77777777" w:rsidR="00F50C5D" w:rsidRPr="009F66AB" w:rsidRDefault="00F50C5D" w:rsidP="00F50C5D">
      <w:pPr>
        <w:ind w:left="720" w:firstLine="720"/>
        <w:rPr>
          <w:rFonts w:eastAsia="Arial Unicode MS"/>
          <w:sz w:val="24"/>
          <w:szCs w:val="24"/>
          <w:lang w:val="en-US"/>
        </w:rPr>
      </w:pPr>
      <w:r w:rsidRPr="009F66AB">
        <w:rPr>
          <w:rFonts w:eastAsia="Arial Unicode MS"/>
          <w:sz w:val="24"/>
          <w:szCs w:val="24"/>
          <w:lang w:val="en-US"/>
        </w:rPr>
        <w:t>- Only the first word of the title, proper names, and scientific names have</w:t>
      </w:r>
    </w:p>
    <w:p w14:paraId="591A992A" w14:textId="77777777" w:rsidR="00F50C5D" w:rsidRDefault="00F50C5D" w:rsidP="00F50C5D">
      <w:pPr>
        <w:ind w:left="720" w:firstLine="720"/>
        <w:rPr>
          <w:rFonts w:eastAsia="Arial Unicode MS"/>
          <w:sz w:val="24"/>
          <w:szCs w:val="24"/>
          <w:lang w:val="en-US"/>
        </w:rPr>
      </w:pPr>
      <w:r w:rsidRPr="009F66AB">
        <w:rPr>
          <w:rFonts w:eastAsia="Arial Unicode MS"/>
          <w:sz w:val="24"/>
          <w:szCs w:val="24"/>
          <w:lang w:val="en-US"/>
        </w:rPr>
        <w:t>the first letter capitalized</w:t>
      </w:r>
    </w:p>
    <w:p w14:paraId="6C72D07F" w14:textId="77777777" w:rsidR="00F50C5D" w:rsidRPr="009F66AB" w:rsidRDefault="00F50C5D" w:rsidP="00F50C5D">
      <w:pPr>
        <w:rPr>
          <w:rFonts w:eastAsia="Arial Unicode MS"/>
          <w:sz w:val="24"/>
          <w:szCs w:val="24"/>
          <w:lang w:val="en-US"/>
        </w:rPr>
      </w:pPr>
    </w:p>
    <w:p w14:paraId="0BB59C17" w14:textId="77777777" w:rsidR="00F50C5D" w:rsidRPr="009F66AB" w:rsidRDefault="00F50C5D" w:rsidP="00F50C5D">
      <w:pPr>
        <w:rPr>
          <w:rFonts w:eastAsia="Arial Unicode MS"/>
          <w:sz w:val="24"/>
          <w:szCs w:val="24"/>
          <w:lang w:val="en-US"/>
        </w:rPr>
      </w:pPr>
      <w:r w:rsidRPr="009F66AB">
        <w:rPr>
          <w:rFonts w:eastAsia="Arial Unicode MS"/>
          <w:b/>
          <w:bCs/>
          <w:sz w:val="24"/>
          <w:szCs w:val="24"/>
          <w:lang w:val="en-US"/>
        </w:rPr>
        <w:t xml:space="preserve">Author names </w:t>
      </w:r>
      <w:r w:rsidRPr="009F66AB">
        <w:rPr>
          <w:rFonts w:eastAsia="Arial Unicode MS"/>
          <w:sz w:val="24"/>
          <w:szCs w:val="24"/>
          <w:lang w:val="en-US"/>
        </w:rPr>
        <w:t>- In normal font, initial(s) first, followed by last name (e.g. A.B. Smith and</w:t>
      </w:r>
    </w:p>
    <w:p w14:paraId="5131CCE3" w14:textId="77777777" w:rsidR="00F50C5D" w:rsidRDefault="00F50C5D" w:rsidP="00F50C5D">
      <w:pPr>
        <w:rPr>
          <w:rFonts w:eastAsia="Arial Unicode MS"/>
          <w:sz w:val="24"/>
          <w:szCs w:val="24"/>
          <w:lang w:val="en-US"/>
        </w:rPr>
      </w:pPr>
      <w:r w:rsidRPr="009F66AB">
        <w:rPr>
          <w:rFonts w:eastAsia="Arial Unicode MS"/>
          <w:sz w:val="24"/>
          <w:szCs w:val="24"/>
          <w:lang w:val="en-US"/>
        </w:rPr>
        <w:t>C.B. Jones)</w:t>
      </w:r>
    </w:p>
    <w:p w14:paraId="7E8DF295" w14:textId="77777777" w:rsidR="00F50C5D" w:rsidRPr="009F66AB" w:rsidRDefault="00F50C5D" w:rsidP="00F50C5D">
      <w:pPr>
        <w:rPr>
          <w:rFonts w:eastAsia="Arial Unicode MS"/>
          <w:sz w:val="24"/>
          <w:szCs w:val="24"/>
          <w:lang w:val="en-US"/>
        </w:rPr>
      </w:pPr>
    </w:p>
    <w:p w14:paraId="26A04155" w14:textId="77777777" w:rsidR="00F50C5D" w:rsidRPr="009F66AB" w:rsidRDefault="00F50C5D" w:rsidP="00F50C5D">
      <w:pPr>
        <w:rPr>
          <w:rFonts w:eastAsia="Arial Unicode MS"/>
          <w:sz w:val="24"/>
          <w:szCs w:val="24"/>
          <w:lang w:val="en-US"/>
        </w:rPr>
      </w:pPr>
      <w:r w:rsidRPr="009F66AB">
        <w:rPr>
          <w:rFonts w:eastAsia="Arial Unicode MS"/>
          <w:b/>
          <w:bCs/>
          <w:sz w:val="24"/>
          <w:szCs w:val="24"/>
          <w:lang w:val="en-US"/>
        </w:rPr>
        <w:t xml:space="preserve">Affiliations </w:t>
      </w:r>
      <w:r w:rsidRPr="009F66AB">
        <w:rPr>
          <w:rFonts w:eastAsia="Arial Unicode MS"/>
          <w:sz w:val="24"/>
          <w:szCs w:val="24"/>
          <w:lang w:val="en-US"/>
        </w:rPr>
        <w:t>- In italics and need to include postal address and postal code (no</w:t>
      </w:r>
    </w:p>
    <w:p w14:paraId="6CF70F73" w14:textId="77777777" w:rsidR="00F50C5D" w:rsidRPr="009F66AB" w:rsidRDefault="00F50C5D" w:rsidP="00F50C5D">
      <w:pPr>
        <w:rPr>
          <w:rFonts w:eastAsia="Arial Unicode MS"/>
          <w:sz w:val="24"/>
          <w:szCs w:val="24"/>
          <w:lang w:val="en-US"/>
        </w:rPr>
      </w:pPr>
      <w:r w:rsidRPr="009F66AB">
        <w:rPr>
          <w:rFonts w:eastAsia="Arial Unicode MS"/>
          <w:sz w:val="24"/>
          <w:szCs w:val="24"/>
          <w:lang w:val="en-US"/>
        </w:rPr>
        <w:t>abbreviations except for province or state names)</w:t>
      </w:r>
    </w:p>
    <w:p w14:paraId="5D18AA1C" w14:textId="77777777" w:rsidR="00F50C5D" w:rsidRPr="009F66AB" w:rsidRDefault="00F50C5D" w:rsidP="00F50C5D">
      <w:pPr>
        <w:rPr>
          <w:rFonts w:eastAsia="Arial Unicode MS"/>
          <w:sz w:val="24"/>
          <w:szCs w:val="24"/>
          <w:lang w:val="en-US"/>
        </w:rPr>
      </w:pPr>
      <w:r w:rsidRPr="009F66AB">
        <w:rPr>
          <w:rFonts w:eastAsia="Arial Unicode MS"/>
          <w:sz w:val="24"/>
          <w:szCs w:val="24"/>
          <w:lang w:val="en-US"/>
        </w:rPr>
        <w:t>- First affiliation should be that of the first author. If other authors have</w:t>
      </w:r>
    </w:p>
    <w:p w14:paraId="1642CD6A" w14:textId="77777777" w:rsidR="00F50C5D" w:rsidRPr="009F66AB" w:rsidRDefault="00F50C5D" w:rsidP="00F50C5D">
      <w:pPr>
        <w:rPr>
          <w:rFonts w:eastAsia="Arial Unicode MS"/>
          <w:sz w:val="24"/>
          <w:szCs w:val="24"/>
          <w:lang w:val="en-US"/>
        </w:rPr>
      </w:pPr>
      <w:r w:rsidRPr="009F66AB">
        <w:rPr>
          <w:rFonts w:eastAsia="Arial Unicode MS"/>
          <w:sz w:val="24"/>
          <w:szCs w:val="24"/>
          <w:lang w:val="en-US"/>
        </w:rPr>
        <w:t>different affiliations, those affiliations should start with the author’s initials,</w:t>
      </w:r>
    </w:p>
    <w:p w14:paraId="1BCF1BCC" w14:textId="77777777" w:rsidR="00F50C5D" w:rsidRDefault="00F50C5D" w:rsidP="00F50C5D">
      <w:pPr>
        <w:rPr>
          <w:rFonts w:eastAsia="Arial Unicode MS"/>
          <w:i/>
          <w:iCs/>
          <w:sz w:val="24"/>
          <w:szCs w:val="24"/>
          <w:lang w:val="en-US"/>
        </w:rPr>
      </w:pPr>
      <w:r w:rsidRPr="009F66AB">
        <w:rPr>
          <w:rFonts w:eastAsia="Arial Unicode MS"/>
          <w:sz w:val="24"/>
          <w:szCs w:val="24"/>
          <w:lang w:val="en-US"/>
        </w:rPr>
        <w:t xml:space="preserve">e.g. </w:t>
      </w:r>
      <w:r w:rsidRPr="009F66AB">
        <w:rPr>
          <w:rFonts w:eastAsia="Arial Unicode MS"/>
          <w:i/>
          <w:iCs/>
          <w:sz w:val="24"/>
          <w:szCs w:val="24"/>
          <w:lang w:val="en-US"/>
        </w:rPr>
        <w:t>(C.B.J.)</w:t>
      </w:r>
    </w:p>
    <w:p w14:paraId="736A351A" w14:textId="77777777" w:rsidR="00F50C5D" w:rsidRPr="009F66AB" w:rsidRDefault="00F50C5D" w:rsidP="00F50C5D">
      <w:pPr>
        <w:rPr>
          <w:rFonts w:eastAsia="Arial Unicode MS"/>
          <w:sz w:val="24"/>
          <w:szCs w:val="24"/>
          <w:lang w:val="en-US"/>
        </w:rPr>
      </w:pPr>
    </w:p>
    <w:p w14:paraId="4C841809" w14:textId="77777777" w:rsidR="00F50C5D" w:rsidRPr="009F66AB" w:rsidRDefault="00F50C5D" w:rsidP="00F50C5D">
      <w:pPr>
        <w:rPr>
          <w:rFonts w:eastAsia="Arial Unicode MS"/>
          <w:sz w:val="24"/>
          <w:szCs w:val="24"/>
          <w:lang w:val="en-US"/>
        </w:rPr>
      </w:pPr>
      <w:r w:rsidRPr="009F66AB">
        <w:rPr>
          <w:rFonts w:eastAsia="Arial Unicode MS"/>
          <w:b/>
          <w:bCs/>
          <w:sz w:val="24"/>
          <w:szCs w:val="24"/>
          <w:lang w:val="en-US"/>
        </w:rPr>
        <w:t xml:space="preserve">Abstract body </w:t>
      </w:r>
      <w:r w:rsidRPr="009F66AB">
        <w:rPr>
          <w:rFonts w:eastAsia="Arial Unicode MS"/>
          <w:sz w:val="24"/>
          <w:szCs w:val="24"/>
          <w:lang w:val="en-US"/>
        </w:rPr>
        <w:t xml:space="preserve">- In normal font with scientific names </w:t>
      </w:r>
      <w:proofErr w:type="spellStart"/>
      <w:r w:rsidRPr="009F66AB">
        <w:rPr>
          <w:rFonts w:eastAsia="Arial Unicode MS"/>
          <w:sz w:val="24"/>
          <w:szCs w:val="24"/>
          <w:lang w:val="en-US"/>
        </w:rPr>
        <w:t>italicised</w:t>
      </w:r>
      <w:proofErr w:type="spellEnd"/>
    </w:p>
    <w:p w14:paraId="029AF933" w14:textId="77777777" w:rsidR="00F50C5D" w:rsidRPr="009F66AB" w:rsidRDefault="00F50C5D" w:rsidP="00F50C5D">
      <w:pPr>
        <w:rPr>
          <w:rFonts w:eastAsia="Arial Unicode MS"/>
          <w:sz w:val="24"/>
          <w:szCs w:val="24"/>
          <w:lang w:val="en-US"/>
        </w:rPr>
      </w:pPr>
      <w:r w:rsidRPr="009F66AB">
        <w:rPr>
          <w:rFonts w:eastAsia="Arial Unicode MS"/>
          <w:sz w:val="24"/>
          <w:szCs w:val="24"/>
          <w:lang w:val="en-US"/>
        </w:rPr>
        <w:t>- The maximum number of words for each abstract is 250, not including the title, author(s) and affiliation(s).</w:t>
      </w:r>
    </w:p>
    <w:p w14:paraId="0E56CA89" w14:textId="77777777" w:rsidR="00F50C5D" w:rsidRPr="009F66AB" w:rsidRDefault="00F50C5D" w:rsidP="00F50C5D">
      <w:pPr>
        <w:rPr>
          <w:rFonts w:eastAsia="Arial Unicode MS"/>
          <w:sz w:val="24"/>
          <w:szCs w:val="24"/>
          <w:lang w:val="en-US"/>
        </w:rPr>
      </w:pPr>
      <w:r w:rsidRPr="009F66AB">
        <w:rPr>
          <w:rFonts w:eastAsia="Arial Unicode MS"/>
          <w:sz w:val="24"/>
          <w:szCs w:val="24"/>
          <w:lang w:val="en-US"/>
        </w:rPr>
        <w:t>- Scientific authorities are to be given for all scientific names the first time</w:t>
      </w:r>
    </w:p>
    <w:p w14:paraId="32A4954E" w14:textId="77777777" w:rsidR="00F50C5D" w:rsidRPr="009F66AB" w:rsidRDefault="00F50C5D" w:rsidP="00F50C5D">
      <w:pPr>
        <w:rPr>
          <w:rFonts w:eastAsia="Arial Unicode MS"/>
          <w:sz w:val="24"/>
          <w:szCs w:val="24"/>
          <w:lang w:val="en-US"/>
        </w:rPr>
      </w:pPr>
      <w:r w:rsidRPr="009F66AB">
        <w:rPr>
          <w:rFonts w:eastAsia="Arial Unicode MS"/>
          <w:sz w:val="24"/>
          <w:szCs w:val="24"/>
          <w:lang w:val="en-US"/>
        </w:rPr>
        <w:t>they are mentioned in the body of the abstract</w:t>
      </w:r>
    </w:p>
    <w:p w14:paraId="6F00B044" w14:textId="77777777" w:rsidR="00F50C5D" w:rsidRPr="009F66AB" w:rsidRDefault="00F50C5D" w:rsidP="00F50C5D">
      <w:pPr>
        <w:rPr>
          <w:rFonts w:eastAsia="Arial Unicode MS"/>
          <w:sz w:val="24"/>
          <w:szCs w:val="24"/>
          <w:lang w:val="en-US"/>
        </w:rPr>
      </w:pPr>
      <w:r w:rsidRPr="009F66AB">
        <w:rPr>
          <w:rFonts w:eastAsia="Arial Unicode MS"/>
          <w:sz w:val="24"/>
          <w:szCs w:val="24"/>
          <w:lang w:val="en-US"/>
        </w:rPr>
        <w:t>- Abbreviations, nomenclature, symbols for units of measurements, etc. are</w:t>
      </w:r>
    </w:p>
    <w:p w14:paraId="0877263B" w14:textId="77777777" w:rsidR="00F50C5D" w:rsidRPr="009F66AB" w:rsidRDefault="00F50C5D" w:rsidP="00F50C5D">
      <w:pPr>
        <w:rPr>
          <w:rFonts w:eastAsia="Arial Unicode MS"/>
          <w:sz w:val="24"/>
          <w:szCs w:val="24"/>
          <w:lang w:val="en-US"/>
        </w:rPr>
      </w:pPr>
      <w:r w:rsidRPr="009F66AB">
        <w:rPr>
          <w:rFonts w:eastAsia="Arial Unicode MS"/>
          <w:sz w:val="24"/>
          <w:szCs w:val="24"/>
          <w:lang w:val="en-US"/>
        </w:rPr>
        <w:t>to conform to the requirements for manuscripts submitted to CJPP</w:t>
      </w:r>
    </w:p>
    <w:p w14:paraId="5E024CEB" w14:textId="77777777" w:rsidR="00F50C5D" w:rsidRDefault="00F50C5D" w:rsidP="00F50C5D">
      <w:pPr>
        <w:rPr>
          <w:rFonts w:eastAsia="Arial Unicode MS"/>
          <w:sz w:val="24"/>
          <w:szCs w:val="24"/>
          <w:lang w:val="en-US"/>
        </w:rPr>
      </w:pPr>
      <w:r w:rsidRPr="009F66AB">
        <w:rPr>
          <w:rFonts w:eastAsia="Arial Unicode MS"/>
          <w:sz w:val="24"/>
          <w:szCs w:val="24"/>
          <w:lang w:val="en-US"/>
        </w:rPr>
        <w:t>(</w:t>
      </w:r>
      <w:hyperlink r:id="rId8" w:history="1">
        <w:r w:rsidRPr="009F66AB">
          <w:rPr>
            <w:rStyle w:val="Hyperlink"/>
            <w:rFonts w:eastAsia="Arial Unicode MS"/>
            <w:sz w:val="24"/>
            <w:szCs w:val="24"/>
            <w:lang w:val="en-US"/>
          </w:rPr>
          <w:t>http://www.tandfonline.com/action/authorSubmission?page=instructions&amp;journalCode=tcjp20&amp;</w:t>
        </w:r>
      </w:hyperlink>
      <w:r w:rsidRPr="009F66AB">
        <w:rPr>
          <w:rFonts w:eastAsia="Arial Unicode MS"/>
          <w:sz w:val="24"/>
          <w:szCs w:val="24"/>
          <w:lang w:val="en-US"/>
        </w:rPr>
        <w:t>)</w:t>
      </w:r>
    </w:p>
    <w:p w14:paraId="194DC903" w14:textId="77777777" w:rsidR="00F50C5D" w:rsidRPr="009F66AB" w:rsidRDefault="00F50C5D" w:rsidP="00F50C5D">
      <w:pPr>
        <w:rPr>
          <w:rFonts w:eastAsia="Arial Unicode MS"/>
          <w:sz w:val="24"/>
          <w:szCs w:val="24"/>
          <w:lang w:val="en-US"/>
        </w:rPr>
      </w:pPr>
    </w:p>
    <w:p w14:paraId="5825324F" w14:textId="77777777" w:rsidR="00F50C5D" w:rsidRPr="009F66AB" w:rsidRDefault="00F50C5D" w:rsidP="00F50C5D">
      <w:pPr>
        <w:rPr>
          <w:rFonts w:eastAsia="Arial Unicode MS"/>
          <w:sz w:val="24"/>
          <w:szCs w:val="24"/>
          <w:lang w:val="en-US"/>
        </w:rPr>
      </w:pPr>
      <w:r w:rsidRPr="009F66AB">
        <w:rPr>
          <w:rFonts w:eastAsia="Arial Unicode MS"/>
          <w:b/>
          <w:bCs/>
          <w:sz w:val="24"/>
          <w:szCs w:val="24"/>
          <w:lang w:val="en-US"/>
        </w:rPr>
        <w:t>At the bottom of the abstract clearly indicate the following:</w:t>
      </w:r>
    </w:p>
    <w:p w14:paraId="2607DFB6" w14:textId="77777777" w:rsidR="00F50C5D" w:rsidRPr="009F66AB" w:rsidRDefault="00F50C5D" w:rsidP="00F50C5D">
      <w:pPr>
        <w:rPr>
          <w:rFonts w:eastAsia="Arial Unicode MS"/>
          <w:sz w:val="24"/>
          <w:szCs w:val="24"/>
          <w:lang w:val="en-US"/>
        </w:rPr>
      </w:pPr>
      <w:r w:rsidRPr="009F66AB">
        <w:rPr>
          <w:rFonts w:eastAsia="Arial Unicode MS"/>
          <w:sz w:val="24"/>
          <w:szCs w:val="24"/>
          <w:lang w:val="en-US"/>
        </w:rPr>
        <w:t>- Names of two people other than the authors who have critically reviewed</w:t>
      </w:r>
    </w:p>
    <w:p w14:paraId="171E08E2" w14:textId="77777777" w:rsidR="00F50C5D" w:rsidRDefault="00F50C5D" w:rsidP="00F50C5D">
      <w:pPr>
        <w:rPr>
          <w:rFonts w:eastAsia="Arial Unicode MS"/>
          <w:sz w:val="24"/>
          <w:szCs w:val="24"/>
          <w:lang w:val="en-US"/>
        </w:rPr>
      </w:pPr>
      <w:r w:rsidRPr="009F66AB">
        <w:rPr>
          <w:rFonts w:eastAsia="Arial Unicode MS"/>
          <w:sz w:val="24"/>
          <w:szCs w:val="24"/>
          <w:lang w:val="en-US"/>
        </w:rPr>
        <w:t>the abstract. When the abstracts are compiled for publication in CJPP, the reviewer information will be omitted</w:t>
      </w:r>
    </w:p>
    <w:p w14:paraId="76478FAE" w14:textId="77777777" w:rsidR="00F50C5D" w:rsidRPr="009F66AB" w:rsidRDefault="00F50C5D" w:rsidP="00F50C5D">
      <w:pPr>
        <w:rPr>
          <w:rFonts w:eastAsia="Arial Unicode MS"/>
          <w:sz w:val="24"/>
          <w:szCs w:val="24"/>
          <w:lang w:val="en-US"/>
        </w:rPr>
      </w:pPr>
    </w:p>
    <w:p w14:paraId="325FEE4A" w14:textId="77777777" w:rsidR="00F50C5D" w:rsidRDefault="00F50C5D" w:rsidP="00F50C5D">
      <w:pPr>
        <w:rPr>
          <w:rFonts w:eastAsia="Arial Unicode MS"/>
          <w:sz w:val="24"/>
          <w:szCs w:val="24"/>
        </w:rPr>
      </w:pPr>
      <w:r w:rsidRPr="009F66AB">
        <w:rPr>
          <w:rFonts w:eastAsia="Arial Unicode MS"/>
          <w:b/>
          <w:bCs/>
          <w:sz w:val="24"/>
          <w:szCs w:val="24"/>
          <w:lang w:val="en-US"/>
        </w:rPr>
        <w:t xml:space="preserve">Abstract fee: </w:t>
      </w:r>
      <w:r w:rsidRPr="009F66AB">
        <w:rPr>
          <w:rFonts w:eastAsia="Arial Unicode MS"/>
          <w:sz w:val="24"/>
          <w:szCs w:val="24"/>
          <w:lang w:val="en-US"/>
        </w:rPr>
        <w:t>There is a $35 fee for each abstract to be published in CJPP which will be due at the time of registration.</w:t>
      </w:r>
    </w:p>
    <w:p w14:paraId="25454BE6" w14:textId="77777777" w:rsidR="00F50C5D" w:rsidRDefault="00F50C5D" w:rsidP="00F50C5D">
      <w:pPr>
        <w:rPr>
          <w:rFonts w:eastAsia="Arial Unicode MS"/>
          <w:sz w:val="24"/>
          <w:szCs w:val="24"/>
        </w:rPr>
      </w:pPr>
    </w:p>
    <w:p w14:paraId="0F86E9AF" w14:textId="1DB8B3B5" w:rsidR="00F50C5D" w:rsidRDefault="00F50C5D">
      <w:pPr>
        <w:spacing w:after="160" w:line="259" w:lineRule="auto"/>
      </w:pPr>
      <w:r>
        <w:br w:type="page"/>
      </w:r>
    </w:p>
    <w:p w14:paraId="51D2EB3D" w14:textId="513DBCE3" w:rsidR="00622F65" w:rsidRDefault="00F50C5D">
      <w:pPr>
        <w:rPr>
          <w:b/>
          <w:bCs/>
          <w:u w:val="single"/>
        </w:rPr>
      </w:pPr>
      <w:r w:rsidRPr="00F50C5D">
        <w:rPr>
          <w:b/>
          <w:bCs/>
          <w:u w:val="single"/>
        </w:rPr>
        <w:lastRenderedPageBreak/>
        <w:t>EXAMPLE</w:t>
      </w:r>
      <w:r>
        <w:rPr>
          <w:b/>
          <w:bCs/>
          <w:u w:val="single"/>
        </w:rPr>
        <w:t xml:space="preserve"> FROM 2024 MEETING</w:t>
      </w:r>
    </w:p>
    <w:p w14:paraId="08336B02" w14:textId="77777777" w:rsidR="00F50C5D" w:rsidRDefault="00F50C5D">
      <w:pPr>
        <w:rPr>
          <w:b/>
          <w:bCs/>
          <w:u w:val="single"/>
        </w:rPr>
      </w:pPr>
    </w:p>
    <w:p w14:paraId="1A9883A1" w14:textId="77777777" w:rsidR="00F50C5D" w:rsidRDefault="00F50C5D">
      <w:pPr>
        <w:rPr>
          <w:b/>
          <w:bCs/>
          <w:u w:val="single"/>
        </w:rPr>
      </w:pPr>
    </w:p>
    <w:p w14:paraId="790898E5" w14:textId="77777777" w:rsidR="00F50C5D" w:rsidRDefault="00F50C5D"/>
    <w:p w14:paraId="43933B46" w14:textId="77777777" w:rsidR="00F50C5D" w:rsidRPr="00FE66BB" w:rsidRDefault="00F50C5D" w:rsidP="00F50C5D">
      <w:pPr>
        <w:pStyle w:val="Standard"/>
        <w:rPr>
          <w:rFonts w:ascii="Times New Roman" w:eastAsiaTheme="minorHAnsi" w:hAnsi="Times New Roman" w:cs="Times New Roman"/>
          <w:b/>
          <w:bCs/>
          <w:i/>
          <w:iCs/>
          <w:kern w:val="2"/>
          <w:lang w:val="en-US" w:eastAsia="en-US" w:bidi="ar-SA"/>
        </w:rPr>
      </w:pPr>
      <w:r w:rsidRPr="00FE66BB">
        <w:rPr>
          <w:rFonts w:ascii="Times New Roman" w:eastAsiaTheme="minorHAnsi" w:hAnsi="Times New Roman" w:cs="Times New Roman"/>
          <w:b/>
          <w:bCs/>
          <w:kern w:val="2"/>
          <w:lang w:val="en-US" w:eastAsia="en-US" w:bidi="ar-SA"/>
        </w:rPr>
        <w:t xml:space="preserve">Helitrons and unequal crossing over implicated in the replication of necrotrophic effector </w:t>
      </w:r>
      <w:r w:rsidRPr="00FE66BB">
        <w:rPr>
          <w:rFonts w:ascii="Times New Roman" w:eastAsiaTheme="minorHAnsi" w:hAnsi="Times New Roman" w:cs="Times New Roman"/>
          <w:b/>
          <w:bCs/>
          <w:i/>
          <w:iCs/>
          <w:kern w:val="2"/>
          <w:lang w:val="en-US" w:eastAsia="en-US" w:bidi="ar-SA"/>
        </w:rPr>
        <w:t>ToxB</w:t>
      </w:r>
      <w:r w:rsidRPr="00FE66BB">
        <w:rPr>
          <w:rFonts w:ascii="Times New Roman" w:eastAsiaTheme="minorHAnsi" w:hAnsi="Times New Roman" w:cs="Times New Roman"/>
          <w:b/>
          <w:bCs/>
          <w:kern w:val="2"/>
          <w:lang w:val="en-US" w:eastAsia="en-US" w:bidi="ar-SA"/>
        </w:rPr>
        <w:t xml:space="preserve"> in </w:t>
      </w:r>
      <w:r w:rsidRPr="00FE66BB">
        <w:rPr>
          <w:rFonts w:ascii="Times New Roman" w:eastAsiaTheme="minorHAnsi" w:hAnsi="Times New Roman" w:cs="Times New Roman"/>
          <w:b/>
          <w:bCs/>
          <w:i/>
          <w:iCs/>
          <w:kern w:val="2"/>
          <w:lang w:val="en-US" w:eastAsia="en-US" w:bidi="ar-SA"/>
        </w:rPr>
        <w:t xml:space="preserve">Pyrenophora tritici-repentis </w:t>
      </w:r>
    </w:p>
    <w:p w14:paraId="0255D69B" w14:textId="77777777" w:rsidR="00F50C5D" w:rsidRPr="00FE66BB" w:rsidRDefault="00F50C5D" w:rsidP="00F50C5D">
      <w:pPr>
        <w:pStyle w:val="Standard"/>
        <w:rPr>
          <w:rFonts w:ascii="Times New Roman" w:eastAsiaTheme="minorHAnsi" w:hAnsi="Times New Roman" w:cs="Times New Roman"/>
          <w:b/>
          <w:bCs/>
          <w:i/>
          <w:iCs/>
          <w:kern w:val="2"/>
          <w:lang w:val="en-US" w:eastAsia="en-US" w:bidi="ar-SA"/>
        </w:rPr>
      </w:pPr>
    </w:p>
    <w:p w14:paraId="3216BA8C" w14:textId="25CF639E" w:rsidR="00F50C5D" w:rsidRPr="00FE66BB" w:rsidRDefault="00F50C5D" w:rsidP="00F50C5D">
      <w:pPr>
        <w:pStyle w:val="Standard"/>
        <w:rPr>
          <w:rFonts w:ascii="Times New Roman" w:hAnsi="Times New Roman" w:cs="Times New Roman"/>
        </w:rPr>
      </w:pPr>
      <w:r w:rsidRPr="00FE66BB">
        <w:rPr>
          <w:rFonts w:ascii="Times New Roman" w:hAnsi="Times New Roman" w:cs="Times New Roman"/>
        </w:rPr>
        <w:t>R. Gourlie</w:t>
      </w:r>
      <w:r w:rsidRPr="00FE66BB">
        <w:rPr>
          <w:rFonts w:ascii="Times New Roman" w:hAnsi="Times New Roman" w:cs="Times New Roman"/>
          <w:vertAlign w:val="superscript"/>
        </w:rPr>
        <w:t>1</w:t>
      </w:r>
      <w:r w:rsidRPr="00FE66BB">
        <w:rPr>
          <w:rFonts w:ascii="Times New Roman" w:hAnsi="Times New Roman" w:cs="Times New Roman"/>
        </w:rPr>
        <w:t>, M.C. McDonald</w:t>
      </w:r>
      <w:r>
        <w:rPr>
          <w:rFonts w:ascii="Times New Roman" w:hAnsi="Times New Roman" w:cs="Times New Roman"/>
          <w:vertAlign w:val="superscript"/>
        </w:rPr>
        <w:t>2</w:t>
      </w:r>
      <w:r w:rsidRPr="00FE66BB">
        <w:rPr>
          <w:rFonts w:ascii="Times New Roman" w:hAnsi="Times New Roman" w:cs="Times New Roman"/>
        </w:rPr>
        <w:t>, M. Hafez</w:t>
      </w:r>
      <w:r w:rsidRPr="00FE66BB">
        <w:rPr>
          <w:rFonts w:ascii="Times New Roman" w:hAnsi="Times New Roman" w:cs="Times New Roman"/>
          <w:vertAlign w:val="superscript"/>
        </w:rPr>
        <w:t>1</w:t>
      </w:r>
      <w:r w:rsidRPr="00FE66BB">
        <w:rPr>
          <w:rFonts w:ascii="Times New Roman" w:hAnsi="Times New Roman" w:cs="Times New Roman"/>
        </w:rPr>
        <w:t>, and R. Aboukhaddour</w:t>
      </w:r>
      <w:r w:rsidRPr="00FE66BB">
        <w:rPr>
          <w:rFonts w:ascii="Times New Roman" w:hAnsi="Times New Roman" w:cs="Times New Roman"/>
          <w:vertAlign w:val="superscript"/>
        </w:rPr>
        <w:t>1</w:t>
      </w:r>
    </w:p>
    <w:p w14:paraId="2CFF5638" w14:textId="77777777" w:rsidR="00F50C5D" w:rsidRPr="00FE66BB" w:rsidRDefault="00F50C5D" w:rsidP="00F50C5D">
      <w:pPr>
        <w:pStyle w:val="Standard"/>
        <w:rPr>
          <w:rFonts w:ascii="Times New Roman" w:hAnsi="Times New Roman" w:cs="Times New Roman"/>
          <w:vertAlign w:val="superscript"/>
        </w:rPr>
      </w:pPr>
    </w:p>
    <w:p w14:paraId="5A9B6627" w14:textId="77777777" w:rsidR="00F50C5D" w:rsidRPr="00FE66BB" w:rsidRDefault="00F50C5D" w:rsidP="00F50C5D">
      <w:pPr>
        <w:pStyle w:val="Standard"/>
        <w:rPr>
          <w:rFonts w:ascii="Times New Roman" w:hAnsi="Times New Roman" w:cs="Times New Roman"/>
          <w:i/>
          <w:iCs/>
        </w:rPr>
      </w:pPr>
      <w:r w:rsidRPr="00FE66BB">
        <w:rPr>
          <w:rFonts w:ascii="Times New Roman" w:hAnsi="Times New Roman" w:cs="Times New Roman"/>
          <w:i/>
          <w:iCs/>
          <w:vertAlign w:val="superscript"/>
        </w:rPr>
        <w:t>1</w:t>
      </w:r>
      <w:r w:rsidRPr="00FE66BB">
        <w:rPr>
          <w:rFonts w:ascii="Times New Roman" w:hAnsi="Times New Roman" w:cs="Times New Roman"/>
          <w:i/>
          <w:iCs/>
        </w:rPr>
        <w:t>Agriculture and Agri-food Canada, 5403 1</w:t>
      </w:r>
      <w:r w:rsidRPr="00FE66BB">
        <w:rPr>
          <w:rFonts w:ascii="Times New Roman" w:hAnsi="Times New Roman" w:cs="Times New Roman"/>
          <w:i/>
          <w:iCs/>
          <w:vertAlign w:val="superscript"/>
        </w:rPr>
        <w:t>st</w:t>
      </w:r>
      <w:r w:rsidRPr="00FE66BB">
        <w:rPr>
          <w:rFonts w:ascii="Times New Roman" w:hAnsi="Times New Roman" w:cs="Times New Roman"/>
          <w:i/>
          <w:iCs/>
        </w:rPr>
        <w:t xml:space="preserve"> Ave South, T1J 4B1, Lethbridge, Alberta, Canada</w:t>
      </w:r>
    </w:p>
    <w:p w14:paraId="31CB24EC" w14:textId="236A3000" w:rsidR="00F50C5D" w:rsidRDefault="00F50C5D" w:rsidP="00F50C5D">
      <w:pPr>
        <w:ind w:left="180" w:hanging="180"/>
        <w:rPr>
          <w:rFonts w:ascii="Times New Roman" w:hAnsi="Times New Roman" w:cs="Times New Roman"/>
          <w:i/>
          <w:iCs/>
          <w:sz w:val="24"/>
          <w:szCs w:val="24"/>
        </w:rPr>
      </w:pPr>
      <w:r>
        <w:rPr>
          <w:rFonts w:ascii="Times New Roman" w:hAnsi="Times New Roman" w:cs="Times New Roman"/>
          <w:i/>
          <w:iCs/>
          <w:sz w:val="24"/>
          <w:szCs w:val="24"/>
          <w:vertAlign w:val="superscript"/>
        </w:rPr>
        <w:t>2</w:t>
      </w:r>
      <w:r w:rsidRPr="00FE66BB">
        <w:rPr>
          <w:rFonts w:ascii="Times New Roman" w:hAnsi="Times New Roman" w:cs="Times New Roman"/>
          <w:i/>
          <w:iCs/>
          <w:sz w:val="24"/>
          <w:szCs w:val="24"/>
        </w:rPr>
        <w:t>School of Biosciences, University of Birmingham, Institute of Microbiology and Infection, B15 2TT, Edgbaston, Birmingham, UK</w:t>
      </w:r>
    </w:p>
    <w:p w14:paraId="49C6733D" w14:textId="77777777" w:rsidR="00F50C5D" w:rsidRPr="00FE66BB" w:rsidRDefault="00F50C5D" w:rsidP="00F50C5D">
      <w:pPr>
        <w:ind w:left="180" w:hanging="180"/>
        <w:rPr>
          <w:rFonts w:ascii="Times New Roman" w:hAnsi="Times New Roman" w:cs="Times New Roman"/>
          <w:i/>
          <w:iCs/>
          <w:sz w:val="24"/>
          <w:szCs w:val="24"/>
        </w:rPr>
      </w:pPr>
    </w:p>
    <w:p w14:paraId="595444E7" w14:textId="77777777" w:rsidR="00F50C5D" w:rsidRPr="00FE66BB" w:rsidRDefault="00F50C5D" w:rsidP="00F50C5D">
      <w:pPr>
        <w:rPr>
          <w:rFonts w:ascii="Times New Roman" w:hAnsi="Times New Roman" w:cs="Times New Roman"/>
          <w:b/>
          <w:bCs/>
          <w:sz w:val="24"/>
          <w:szCs w:val="24"/>
        </w:rPr>
      </w:pPr>
      <w:r w:rsidRPr="00FE66BB">
        <w:rPr>
          <w:rFonts w:ascii="Times New Roman" w:hAnsi="Times New Roman" w:cs="Times New Roman"/>
          <w:b/>
          <w:bCs/>
          <w:sz w:val="24"/>
          <w:szCs w:val="24"/>
        </w:rPr>
        <w:t>Abstract</w:t>
      </w:r>
    </w:p>
    <w:p w14:paraId="10E44396" w14:textId="77777777" w:rsidR="00F50C5D" w:rsidRPr="00FE66BB" w:rsidRDefault="00F50C5D" w:rsidP="00F50C5D">
      <w:pPr>
        <w:jc w:val="both"/>
        <w:rPr>
          <w:rFonts w:ascii="Times New Roman" w:hAnsi="Times New Roman" w:cs="Times New Roman"/>
          <w:sz w:val="24"/>
          <w:szCs w:val="24"/>
        </w:rPr>
      </w:pPr>
      <w:r w:rsidRPr="00FE66BB">
        <w:rPr>
          <w:rFonts w:ascii="Times New Roman" w:hAnsi="Times New Roman" w:cs="Times New Roman"/>
          <w:sz w:val="24"/>
          <w:szCs w:val="24"/>
        </w:rPr>
        <w:t xml:space="preserve">Copy-number variation is a major driver of genome evolution and has been correlated with increased virulence and effector development in fungal plant pathogens. In the wheat tan spot pathogen </w:t>
      </w:r>
      <w:r w:rsidRPr="00FE66BB">
        <w:rPr>
          <w:rFonts w:ascii="Times New Roman" w:hAnsi="Times New Roman" w:cs="Times New Roman"/>
          <w:i/>
          <w:iCs/>
          <w:sz w:val="24"/>
          <w:szCs w:val="24"/>
        </w:rPr>
        <w:t xml:space="preserve">Pyrenophora tritici-repentis </w:t>
      </w:r>
      <w:r w:rsidRPr="00FE66BB">
        <w:rPr>
          <w:rFonts w:ascii="Times New Roman" w:hAnsi="Times New Roman" w:cs="Times New Roman"/>
          <w:sz w:val="24"/>
          <w:szCs w:val="24"/>
          <w:lang w:val="fr-CA"/>
        </w:rPr>
        <w:t>(</w:t>
      </w:r>
      <w:proofErr w:type="spellStart"/>
      <w:r w:rsidRPr="00FE66BB">
        <w:rPr>
          <w:rFonts w:ascii="Times New Roman" w:hAnsi="Times New Roman" w:cs="Times New Roman"/>
          <w:sz w:val="24"/>
          <w:szCs w:val="24"/>
          <w:lang w:val="fr-CA"/>
        </w:rPr>
        <w:t>Died</w:t>
      </w:r>
      <w:proofErr w:type="spellEnd"/>
      <w:r w:rsidRPr="00FE66BB">
        <w:rPr>
          <w:rFonts w:ascii="Times New Roman" w:hAnsi="Times New Roman" w:cs="Times New Roman"/>
          <w:sz w:val="24"/>
          <w:szCs w:val="24"/>
          <w:lang w:val="fr-CA"/>
        </w:rPr>
        <w:t xml:space="preserve">.) </w:t>
      </w:r>
      <w:proofErr w:type="spellStart"/>
      <w:r w:rsidRPr="00FE66BB">
        <w:rPr>
          <w:rFonts w:ascii="Times New Roman" w:hAnsi="Times New Roman" w:cs="Times New Roman"/>
          <w:sz w:val="24"/>
          <w:szCs w:val="24"/>
          <w:lang w:val="fr-CA"/>
        </w:rPr>
        <w:t>Drechs</w:t>
      </w:r>
      <w:proofErr w:type="spellEnd"/>
      <w:r w:rsidRPr="00FE66BB">
        <w:rPr>
          <w:rFonts w:ascii="Times New Roman" w:hAnsi="Times New Roman" w:cs="Times New Roman"/>
          <w:sz w:val="24"/>
          <w:szCs w:val="24"/>
          <w:lang w:val="fr-CA"/>
        </w:rPr>
        <w:t xml:space="preserve">. </w:t>
      </w:r>
      <w:r w:rsidRPr="00FE66BB">
        <w:rPr>
          <w:rFonts w:ascii="Times New Roman" w:hAnsi="Times New Roman" w:cs="Times New Roman"/>
          <w:sz w:val="24"/>
          <w:szCs w:val="24"/>
        </w:rPr>
        <w:t xml:space="preserve">(Ptr), the </w:t>
      </w:r>
      <w:r w:rsidRPr="00FE66BB">
        <w:rPr>
          <w:rFonts w:ascii="Times New Roman" w:hAnsi="Times New Roman" w:cs="Times New Roman"/>
          <w:i/>
          <w:iCs/>
          <w:sz w:val="24"/>
          <w:szCs w:val="24"/>
        </w:rPr>
        <w:t>ToxB</w:t>
      </w:r>
      <w:r w:rsidRPr="00FE66BB">
        <w:rPr>
          <w:rFonts w:ascii="Times New Roman" w:hAnsi="Times New Roman" w:cs="Times New Roman"/>
          <w:sz w:val="24"/>
          <w:szCs w:val="24"/>
        </w:rPr>
        <w:t xml:space="preserve"> gene encodes a chlorosis-inducing effector that exhibits copy-number variation across isolates (reportedly ranging from 0 to 10 copies). We have utilized &gt;20 long-read assemblies to understand the replication mechanism of </w:t>
      </w:r>
      <w:r w:rsidRPr="00FE66BB">
        <w:rPr>
          <w:rFonts w:ascii="Times New Roman" w:hAnsi="Times New Roman" w:cs="Times New Roman"/>
          <w:i/>
          <w:iCs/>
          <w:sz w:val="24"/>
          <w:szCs w:val="24"/>
        </w:rPr>
        <w:t>ToxB</w:t>
      </w:r>
      <w:r w:rsidRPr="00FE66BB">
        <w:rPr>
          <w:rFonts w:ascii="Times New Roman" w:hAnsi="Times New Roman" w:cs="Times New Roman"/>
          <w:sz w:val="24"/>
          <w:szCs w:val="24"/>
        </w:rPr>
        <w:t xml:space="preserve"> within the Ptr genome. Our results revealed that in multi-copy isolates, </w:t>
      </w:r>
      <w:r w:rsidRPr="00FE66BB">
        <w:rPr>
          <w:rFonts w:ascii="Times New Roman" w:hAnsi="Times New Roman" w:cs="Times New Roman"/>
          <w:i/>
          <w:iCs/>
          <w:sz w:val="24"/>
          <w:szCs w:val="24"/>
        </w:rPr>
        <w:t>ToxB</w:t>
      </w:r>
      <w:r w:rsidRPr="00FE66BB">
        <w:rPr>
          <w:rFonts w:ascii="Times New Roman" w:hAnsi="Times New Roman" w:cs="Times New Roman"/>
          <w:sz w:val="24"/>
          <w:szCs w:val="24"/>
        </w:rPr>
        <w:t xml:space="preserve">, along with variable segments of surrounding sequences, exists as tandem unidirectional copies. Distinctive features, such as left and right terminal sequences, the presence of hairpin loops, and the lack of other conventional transposon features (i.e., LTRs, TIRs, TSDs, transposases, etc.) support the hypothesis that a Helitron-like-element is responsible for </w:t>
      </w:r>
      <w:r w:rsidRPr="00FE66BB">
        <w:rPr>
          <w:rFonts w:ascii="Times New Roman" w:hAnsi="Times New Roman" w:cs="Times New Roman"/>
          <w:i/>
          <w:iCs/>
          <w:sz w:val="24"/>
          <w:szCs w:val="24"/>
        </w:rPr>
        <w:t>ToxB</w:t>
      </w:r>
      <w:r w:rsidRPr="00FE66BB">
        <w:rPr>
          <w:rFonts w:ascii="Times New Roman" w:hAnsi="Times New Roman" w:cs="Times New Roman"/>
          <w:sz w:val="24"/>
          <w:szCs w:val="24"/>
        </w:rPr>
        <w:t xml:space="preserve"> replication. Unequal crossing-over is also a potential driver of duplication. Additionally, our analysis showed that </w:t>
      </w:r>
      <w:r w:rsidRPr="00FE66BB">
        <w:rPr>
          <w:rFonts w:ascii="Times New Roman" w:hAnsi="Times New Roman" w:cs="Times New Roman"/>
          <w:i/>
          <w:iCs/>
          <w:sz w:val="24"/>
          <w:szCs w:val="24"/>
        </w:rPr>
        <w:t>ToxB</w:t>
      </w:r>
      <w:r w:rsidRPr="00FE66BB">
        <w:rPr>
          <w:rFonts w:ascii="Times New Roman" w:hAnsi="Times New Roman" w:cs="Times New Roman"/>
          <w:sz w:val="24"/>
          <w:szCs w:val="24"/>
        </w:rPr>
        <w:t xml:space="preserve"> resides within a repeat-dense region rich with transposon activity, including evidence for two different Copia-like transposons disrupting and inactivating the </w:t>
      </w:r>
      <w:r w:rsidRPr="00FE66BB">
        <w:rPr>
          <w:rFonts w:ascii="Times New Roman" w:hAnsi="Times New Roman" w:cs="Times New Roman"/>
          <w:i/>
          <w:iCs/>
          <w:sz w:val="24"/>
          <w:szCs w:val="24"/>
        </w:rPr>
        <w:t>ToxB</w:t>
      </w:r>
      <w:r w:rsidRPr="00FE66BB">
        <w:rPr>
          <w:rFonts w:ascii="Times New Roman" w:hAnsi="Times New Roman" w:cs="Times New Roman"/>
          <w:sz w:val="24"/>
          <w:szCs w:val="24"/>
        </w:rPr>
        <w:t xml:space="preserve"> reading-frame (i.e. </w:t>
      </w:r>
      <w:r w:rsidRPr="00FE66BB">
        <w:rPr>
          <w:rFonts w:ascii="Times New Roman" w:hAnsi="Times New Roman" w:cs="Times New Roman"/>
          <w:i/>
          <w:iCs/>
          <w:sz w:val="24"/>
          <w:szCs w:val="24"/>
        </w:rPr>
        <w:t>toxb</w:t>
      </w:r>
      <w:r w:rsidRPr="00FE66BB">
        <w:rPr>
          <w:rFonts w:ascii="Times New Roman" w:hAnsi="Times New Roman" w:cs="Times New Roman"/>
          <w:sz w:val="24"/>
          <w:szCs w:val="24"/>
        </w:rPr>
        <w:t xml:space="preserve">). The region containing </w:t>
      </w:r>
      <w:r w:rsidRPr="00FE66BB">
        <w:rPr>
          <w:rFonts w:ascii="Times New Roman" w:hAnsi="Times New Roman" w:cs="Times New Roman"/>
          <w:i/>
          <w:iCs/>
          <w:sz w:val="24"/>
          <w:szCs w:val="24"/>
        </w:rPr>
        <w:t>ToxB</w:t>
      </w:r>
      <w:r w:rsidRPr="00FE66BB">
        <w:rPr>
          <w:rFonts w:ascii="Times New Roman" w:hAnsi="Times New Roman" w:cs="Times New Roman"/>
          <w:sz w:val="24"/>
          <w:szCs w:val="24"/>
        </w:rPr>
        <w:t xml:space="preserve"> is completely absent in isolates lacking the </w:t>
      </w:r>
      <w:r w:rsidRPr="00FE66BB">
        <w:rPr>
          <w:rFonts w:ascii="Times New Roman" w:hAnsi="Times New Roman" w:cs="Times New Roman"/>
          <w:i/>
          <w:iCs/>
          <w:sz w:val="24"/>
          <w:szCs w:val="24"/>
        </w:rPr>
        <w:t xml:space="preserve">ToxB </w:t>
      </w:r>
      <w:r w:rsidRPr="00FE66BB">
        <w:rPr>
          <w:rFonts w:ascii="Times New Roman" w:hAnsi="Times New Roman" w:cs="Times New Roman"/>
          <w:sz w:val="24"/>
          <w:szCs w:val="24"/>
        </w:rPr>
        <w:t xml:space="preserve">gene, indicating it is present within an accessory region. The size of the semi-conserved region may support the presence of a supernumerary chromosome arm, or perhaps an ancient, now defunct, large mobile element. Our study provides a comprehensive look at virulence gene duplication in a fungal pathogen, utilizing the Ptr genome as a case study. </w:t>
      </w:r>
    </w:p>
    <w:p w14:paraId="20019A06" w14:textId="77777777" w:rsidR="00F50C5D" w:rsidRPr="00FE66BB" w:rsidRDefault="00F50C5D" w:rsidP="00F50C5D">
      <w:pPr>
        <w:jc w:val="both"/>
        <w:rPr>
          <w:rFonts w:ascii="Times New Roman" w:hAnsi="Times New Roman" w:cs="Times New Roman"/>
          <w:sz w:val="24"/>
          <w:szCs w:val="24"/>
        </w:rPr>
      </w:pPr>
    </w:p>
    <w:p w14:paraId="787EAB6C" w14:textId="77777777" w:rsidR="00F50C5D" w:rsidRPr="00FE66BB" w:rsidRDefault="00F50C5D" w:rsidP="00F50C5D">
      <w:pPr>
        <w:jc w:val="both"/>
        <w:rPr>
          <w:rFonts w:ascii="Times New Roman" w:hAnsi="Times New Roman" w:cs="Times New Roman"/>
          <w:sz w:val="24"/>
          <w:szCs w:val="24"/>
        </w:rPr>
      </w:pPr>
      <w:r w:rsidRPr="00FE66BB">
        <w:rPr>
          <w:rFonts w:ascii="Times New Roman" w:hAnsi="Times New Roman" w:cs="Times New Roman"/>
          <w:sz w:val="24"/>
          <w:szCs w:val="24"/>
        </w:rPr>
        <w:t>Reviewed by:</w:t>
      </w:r>
    </w:p>
    <w:p w14:paraId="49ED91FE" w14:textId="573F3523" w:rsidR="00F50C5D" w:rsidRDefault="00F50C5D">
      <w:pPr>
        <w:rPr>
          <w:rFonts w:ascii="Times New Roman" w:hAnsi="Times New Roman" w:cs="Times New Roman"/>
          <w:sz w:val="24"/>
          <w:szCs w:val="24"/>
        </w:rPr>
      </w:pPr>
      <w:r>
        <w:rPr>
          <w:rFonts w:ascii="Times New Roman" w:hAnsi="Times New Roman" w:cs="Times New Roman"/>
          <w:sz w:val="24"/>
          <w:szCs w:val="24"/>
        </w:rPr>
        <w:t>1.</w:t>
      </w:r>
    </w:p>
    <w:p w14:paraId="5856939E" w14:textId="56167524" w:rsidR="00F50C5D" w:rsidRPr="00F50C5D" w:rsidRDefault="00F50C5D">
      <w:r>
        <w:rPr>
          <w:rFonts w:ascii="Times New Roman" w:hAnsi="Times New Roman" w:cs="Times New Roman"/>
          <w:sz w:val="24"/>
          <w:szCs w:val="24"/>
        </w:rPr>
        <w:t>2.</w:t>
      </w:r>
    </w:p>
    <w:sectPr w:rsidR="00F50C5D" w:rsidRPr="00F50C5D" w:rsidSect="00F50C5D">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DF59B" w14:textId="77777777" w:rsidR="00643C1E" w:rsidRDefault="00643C1E">
      <w:r>
        <w:separator/>
      </w:r>
    </w:p>
  </w:endnote>
  <w:endnote w:type="continuationSeparator" w:id="0">
    <w:p w14:paraId="20003690" w14:textId="77777777" w:rsidR="00643C1E" w:rsidRDefault="00643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oto Serif CJK SC">
    <w:altName w:val="Cambria"/>
    <w:charset w:val="00"/>
    <w:family w:val="auto"/>
    <w:pitch w:val="variable"/>
  </w:font>
  <w:font w:name="Lohit Devanagari">
    <w:altName w:val="Cambria"/>
    <w:charset w:val="00"/>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C2EC6" w14:textId="77777777" w:rsidR="00F50C5D" w:rsidRDefault="00F50C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B5138" w14:textId="77777777" w:rsidR="00F50C5D" w:rsidRDefault="00F50C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41E07" w14:textId="77777777" w:rsidR="00F50C5D" w:rsidRDefault="00F50C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503C2" w14:textId="77777777" w:rsidR="00643C1E" w:rsidRDefault="00643C1E">
      <w:r>
        <w:separator/>
      </w:r>
    </w:p>
  </w:footnote>
  <w:footnote w:type="continuationSeparator" w:id="0">
    <w:p w14:paraId="6E6D7D9E" w14:textId="77777777" w:rsidR="00643C1E" w:rsidRDefault="00643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D872D" w14:textId="77777777" w:rsidR="00F50C5D" w:rsidRDefault="00F50C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B9CB4" w14:textId="77777777" w:rsidR="00F50C5D" w:rsidRDefault="00F50C5D">
    <w:pPr>
      <w:pStyle w:val="Header"/>
    </w:pPr>
    <w:r>
      <w:rPr>
        <w:noProof/>
        <w:lang w:val="en-US" w:eastAsia="en-US"/>
      </w:rPr>
      <w:drawing>
        <wp:inline distT="0" distB="0" distL="0" distR="0" wp14:anchorId="500EC3A9" wp14:editId="61751038">
          <wp:extent cx="2952750" cy="893445"/>
          <wp:effectExtent l="0" t="0" r="0" b="1905"/>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45772"/>
                  <a:stretch>
                    <a:fillRect/>
                  </a:stretch>
                </pic:blipFill>
                <pic:spPr>
                  <a:xfrm>
                    <a:off x="0" y="0"/>
                    <a:ext cx="2956369" cy="89454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EC195" w14:textId="77777777" w:rsidR="00F50C5D" w:rsidRDefault="00F50C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C5D"/>
    <w:rsid w:val="00112D27"/>
    <w:rsid w:val="00160507"/>
    <w:rsid w:val="002B4EA9"/>
    <w:rsid w:val="00616FFD"/>
    <w:rsid w:val="00622F65"/>
    <w:rsid w:val="00643C1E"/>
    <w:rsid w:val="007A1D4D"/>
    <w:rsid w:val="00AA46FC"/>
    <w:rsid w:val="00F14A68"/>
    <w:rsid w:val="00F50C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1ECD2"/>
  <w15:chartTrackingRefBased/>
  <w15:docId w15:val="{16569EC4-0531-41CA-81E7-BE1233699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C5D"/>
    <w:pPr>
      <w:spacing w:after="0" w:line="240" w:lineRule="auto"/>
    </w:pPr>
    <w:rPr>
      <w:rFonts w:ascii="Arial" w:eastAsia="Arial" w:hAnsi="Arial" w:cs="Arial"/>
      <w:color w:val="000000"/>
      <w:kern w:val="16"/>
      <w:sz w:val="20"/>
      <w:szCs w:val="20"/>
      <w:lang w:val="en-CA" w:eastAsia="en-CA"/>
    </w:rPr>
  </w:style>
  <w:style w:type="paragraph" w:styleId="Heading1">
    <w:name w:val="heading 1"/>
    <w:basedOn w:val="Normal"/>
    <w:next w:val="Normal"/>
    <w:link w:val="Heading1Char"/>
    <w:uiPriority w:val="9"/>
    <w:qFormat/>
    <w:rsid w:val="00F50C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0C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0C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0C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0C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0C5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C5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C5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C5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C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0C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0C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0C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0C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0C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C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C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C5D"/>
    <w:rPr>
      <w:rFonts w:eastAsiaTheme="majorEastAsia" w:cstheme="majorBidi"/>
      <w:color w:val="272727" w:themeColor="text1" w:themeTint="D8"/>
    </w:rPr>
  </w:style>
  <w:style w:type="paragraph" w:styleId="Title">
    <w:name w:val="Title"/>
    <w:basedOn w:val="Normal"/>
    <w:next w:val="Normal"/>
    <w:link w:val="TitleChar"/>
    <w:uiPriority w:val="10"/>
    <w:qFormat/>
    <w:rsid w:val="00F50C5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C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0C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C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0C5D"/>
    <w:pPr>
      <w:spacing w:before="160"/>
      <w:jc w:val="center"/>
    </w:pPr>
    <w:rPr>
      <w:i/>
      <w:iCs/>
      <w:color w:val="404040" w:themeColor="text1" w:themeTint="BF"/>
    </w:rPr>
  </w:style>
  <w:style w:type="character" w:customStyle="1" w:styleId="QuoteChar">
    <w:name w:val="Quote Char"/>
    <w:basedOn w:val="DefaultParagraphFont"/>
    <w:link w:val="Quote"/>
    <w:uiPriority w:val="29"/>
    <w:rsid w:val="00F50C5D"/>
    <w:rPr>
      <w:i/>
      <w:iCs/>
      <w:color w:val="404040" w:themeColor="text1" w:themeTint="BF"/>
    </w:rPr>
  </w:style>
  <w:style w:type="paragraph" w:styleId="ListParagraph">
    <w:name w:val="List Paragraph"/>
    <w:basedOn w:val="Normal"/>
    <w:uiPriority w:val="34"/>
    <w:qFormat/>
    <w:rsid w:val="00F50C5D"/>
    <w:pPr>
      <w:ind w:left="720"/>
      <w:contextualSpacing/>
    </w:pPr>
  </w:style>
  <w:style w:type="character" w:styleId="IntenseEmphasis">
    <w:name w:val="Intense Emphasis"/>
    <w:basedOn w:val="DefaultParagraphFont"/>
    <w:uiPriority w:val="21"/>
    <w:qFormat/>
    <w:rsid w:val="00F50C5D"/>
    <w:rPr>
      <w:i/>
      <w:iCs/>
      <w:color w:val="2F5496" w:themeColor="accent1" w:themeShade="BF"/>
    </w:rPr>
  </w:style>
  <w:style w:type="paragraph" w:styleId="IntenseQuote">
    <w:name w:val="Intense Quote"/>
    <w:basedOn w:val="Normal"/>
    <w:next w:val="Normal"/>
    <w:link w:val="IntenseQuoteChar"/>
    <w:uiPriority w:val="30"/>
    <w:qFormat/>
    <w:rsid w:val="00F50C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0C5D"/>
    <w:rPr>
      <w:i/>
      <w:iCs/>
      <w:color w:val="2F5496" w:themeColor="accent1" w:themeShade="BF"/>
    </w:rPr>
  </w:style>
  <w:style w:type="character" w:styleId="IntenseReference">
    <w:name w:val="Intense Reference"/>
    <w:basedOn w:val="DefaultParagraphFont"/>
    <w:uiPriority w:val="32"/>
    <w:qFormat/>
    <w:rsid w:val="00F50C5D"/>
    <w:rPr>
      <w:b/>
      <w:bCs/>
      <w:smallCaps/>
      <w:color w:val="2F5496" w:themeColor="accent1" w:themeShade="BF"/>
      <w:spacing w:val="5"/>
    </w:rPr>
  </w:style>
  <w:style w:type="paragraph" w:styleId="Header">
    <w:name w:val="header"/>
    <w:basedOn w:val="Normal"/>
    <w:link w:val="HeaderChar"/>
    <w:uiPriority w:val="99"/>
    <w:unhideWhenUsed/>
    <w:rsid w:val="00F50C5D"/>
    <w:pPr>
      <w:tabs>
        <w:tab w:val="center" w:pos="4680"/>
        <w:tab w:val="right" w:pos="9360"/>
      </w:tabs>
    </w:pPr>
  </w:style>
  <w:style w:type="character" w:customStyle="1" w:styleId="HeaderChar">
    <w:name w:val="Header Char"/>
    <w:basedOn w:val="DefaultParagraphFont"/>
    <w:link w:val="Header"/>
    <w:uiPriority w:val="99"/>
    <w:rsid w:val="00F50C5D"/>
    <w:rPr>
      <w:rFonts w:ascii="Arial" w:eastAsia="Arial" w:hAnsi="Arial" w:cs="Arial"/>
      <w:color w:val="000000"/>
      <w:kern w:val="16"/>
      <w:sz w:val="20"/>
      <w:szCs w:val="20"/>
      <w:lang w:val="en-CA" w:eastAsia="en-CA"/>
    </w:rPr>
  </w:style>
  <w:style w:type="paragraph" w:styleId="Footer">
    <w:name w:val="footer"/>
    <w:basedOn w:val="Normal"/>
    <w:link w:val="FooterChar"/>
    <w:uiPriority w:val="99"/>
    <w:unhideWhenUsed/>
    <w:rsid w:val="00F50C5D"/>
    <w:pPr>
      <w:tabs>
        <w:tab w:val="center" w:pos="4680"/>
        <w:tab w:val="right" w:pos="9360"/>
      </w:tabs>
    </w:pPr>
  </w:style>
  <w:style w:type="character" w:customStyle="1" w:styleId="FooterChar">
    <w:name w:val="Footer Char"/>
    <w:basedOn w:val="DefaultParagraphFont"/>
    <w:link w:val="Footer"/>
    <w:uiPriority w:val="99"/>
    <w:rsid w:val="00F50C5D"/>
    <w:rPr>
      <w:rFonts w:ascii="Arial" w:eastAsia="Arial" w:hAnsi="Arial" w:cs="Arial"/>
      <w:color w:val="000000"/>
      <w:kern w:val="16"/>
      <w:sz w:val="20"/>
      <w:szCs w:val="20"/>
      <w:lang w:val="en-CA" w:eastAsia="en-CA"/>
    </w:rPr>
  </w:style>
  <w:style w:type="character" w:styleId="Hyperlink">
    <w:name w:val="Hyperlink"/>
    <w:basedOn w:val="DefaultParagraphFont"/>
    <w:uiPriority w:val="99"/>
    <w:unhideWhenUsed/>
    <w:rsid w:val="00F50C5D"/>
    <w:rPr>
      <w:color w:val="0563C1" w:themeColor="hyperlink"/>
      <w:u w:val="single"/>
    </w:rPr>
  </w:style>
  <w:style w:type="paragraph" w:customStyle="1" w:styleId="Standard">
    <w:name w:val="Standard"/>
    <w:rsid w:val="00F50C5D"/>
    <w:pPr>
      <w:suppressAutoHyphens/>
      <w:autoSpaceDN w:val="0"/>
      <w:spacing w:after="0" w:line="240" w:lineRule="auto"/>
      <w:textAlignment w:val="baseline"/>
    </w:pPr>
    <w:rPr>
      <w:rFonts w:ascii="Liberation Serif" w:eastAsia="Noto Serif CJK SC" w:hAnsi="Liberation Serif" w:cs="Lohit Devanagari"/>
      <w:kern w:val="3"/>
      <w:sz w:val="24"/>
      <w:szCs w:val="24"/>
      <w:lang w:val="en-CA" w:eastAsia="zh-CN" w:bidi="hi-IN"/>
    </w:rPr>
  </w:style>
  <w:style w:type="character" w:styleId="UnresolvedMention">
    <w:name w:val="Unresolved Mention"/>
    <w:basedOn w:val="DefaultParagraphFont"/>
    <w:uiPriority w:val="99"/>
    <w:semiHidden/>
    <w:unhideWhenUsed/>
    <w:rsid w:val="00F14A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ndfonline.com/action/authorSubmission?page=instructions&amp;journalCode=tcjp20&amp;"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tandfonline.com/action/authorSubmission?journalCode=tcjp20&amp;page=instructions"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PlantPathologySocietyAlberta@gmail.com"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756</Words>
  <Characters>4313</Characters>
  <Application>Microsoft Office Word</Application>
  <DocSecurity>0</DocSecurity>
  <Lines>35</Lines>
  <Paragraphs>10</Paragraphs>
  <ScaleCrop>false</ScaleCrop>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Gourlie, Ryan (AAFC/AAC)</dc:creator>
  <cp:keywords/>
  <dc:description/>
  <cp:lastModifiedBy>Gourlie, Ryan (AAFC/AAC)</cp:lastModifiedBy>
  <cp:revision>2</cp:revision>
  <dcterms:created xsi:type="dcterms:W3CDTF">2025-09-15T17:12:00Z</dcterms:created>
  <dcterms:modified xsi:type="dcterms:W3CDTF">2025-09-15T17:12:00Z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af8b07-6cf8-44fb-9192-49df10ad5251_Enabled">
    <vt:lpwstr>true</vt:lpwstr>
  </property>
  <property fmtid="{D5CDD505-2E9C-101B-9397-08002B2CF9AE}" pid="3" name="MSIP_Label_61af8b07-6cf8-44fb-9192-49df10ad5251_SetDate">
    <vt:lpwstr>2025-09-02T16:05:27Z</vt:lpwstr>
  </property>
  <property fmtid="{D5CDD505-2E9C-101B-9397-08002B2CF9AE}" pid="4" name="MSIP_Label_61af8b07-6cf8-44fb-9192-49df10ad5251_Method">
    <vt:lpwstr>Privileged</vt:lpwstr>
  </property>
  <property fmtid="{D5CDD505-2E9C-101B-9397-08002B2CF9AE}" pid="5" name="MSIP_Label_61af8b07-6cf8-44fb-9192-49df10ad5251_Name">
    <vt:lpwstr>Unclassified ~ non classifiees</vt:lpwstr>
  </property>
  <property fmtid="{D5CDD505-2E9C-101B-9397-08002B2CF9AE}" pid="6" name="MSIP_Label_61af8b07-6cf8-44fb-9192-49df10ad5251_SiteId">
    <vt:lpwstr>9da98bb1-1857-4cc3-8751-9a49e35d24cd</vt:lpwstr>
  </property>
  <property fmtid="{D5CDD505-2E9C-101B-9397-08002B2CF9AE}" pid="7" name="MSIP_Label_61af8b07-6cf8-44fb-9192-49df10ad5251_ActionId">
    <vt:lpwstr>adfc48fa-158a-4a8b-9ef8-0d0d0eb015a5</vt:lpwstr>
  </property>
  <property fmtid="{D5CDD505-2E9C-101B-9397-08002B2CF9AE}" pid="8" name="MSIP_Label_61af8b07-6cf8-44fb-9192-49df10ad5251_ContentBits">
    <vt:lpwstr>0</vt:lpwstr>
  </property>
  <property fmtid="{D5CDD505-2E9C-101B-9397-08002B2CF9AE}" pid="9" name="MSIP_Label_61af8b07-6cf8-44fb-9192-49df10ad5251_Tag">
    <vt:lpwstr>10, 0, 1, 1</vt:lpwstr>
  </property>
</Properties>
</file>